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573</w:t>
      </w:r>
    </w:p>
    <w:p>
      <w:r>
        <w:t>Bundesgericht (BGE), 1969-01-01, FR</w:t>
      </w:r>
    </w:p>
    <w:p>
      <w:r>
        <w:rPr>
          <w:b/>
        </w:rPr>
        <w:t xml:space="preserve">Quelle: </w:t>
      </w:r>
      <w:r>
        <w:t>https://mcp.opencaselaw.ch/entscheid/bge_95 II 573</w:t>
      </w:r>
    </w:p>
    <w:p>
      <w:r>
        <w:t>FR: ATF 95 II 573</w:t>
      </w:r>
    </w:p>
    <w:p>
      <w:r>
        <w:t>IT: DTF 95 II 573</w:t>
      </w:r>
    </w:p>
    <w:p>
      <w:pPr>
        <w:pStyle w:val="Heading2"/>
      </w:pPr>
      <w:r>
        <w:t>Regeste</w:t>
      </w:r>
    </w:p>
    <w:p>
      <w:r>
        <w:t>Regeste Haftung des Motorfahrzeughalters für den Zusammenstoss mit einem Velofahrer, der verletzt wurde und den Unfall mitverschuldete. Art. 58 Abs. 1 und 59 Abs. 1 SVG. 1. Verschulden des Autofahrers, der nachts wegen entgegenkommender Strassenbenützer die Abblendlichter eingeschaltet hat, aber seine Geschwindigkeit nicht so bemisst, dass er innerhalb der zuverlässig überblickbaren Strecke anhalten könnte (Art. 25 Abs. 1 MFG; vgl. auch Art. 32 Abs. 1 SVG und Art. 4 Abs. 1 VRV) (Erw. 2 b). 2. Mitverschulden des Velofahrers, der unbekümmert darum, dass er die Lichter eines entgegenkommenden Fahrzeuges wahrgenommen hat, auf die linke Strassenhälfte ausbiegt, um Fussgänger zu überholen, die sich auf der rechten befinden (Erw. 2 a). 3. Festsetzung der Entschädigung nach den Umständen, insbesondere dem beidseitigen Verschulden (Art. 59 Abs. 2 SVG). Hier keine Berücksichtigung der mit dem Gebrauch eines Fahrrades verbundenen Betriebsgefahr noch der Verletzbarkeit dessen, der ein solches Fahrzeug benützt (Erw. 3 und 4). 4. Anrechnung der Leistungen der Schweizerischen Unfallversicherungsanstalt (Art. 100 KUVG) (Erw. 4).</w:t>
      </w:r>
    </w:p>
    <w:p>
      <w:pPr>
        <w:pStyle w:val="Heading2"/>
      </w:pPr>
      <w:r>
        <w:t>Erwägungen</w:t>
      </w:r>
    </w:p>
    <w:p>
      <w:r>
        <w:rPr>
          <w:b/>
        </w:rPr>
        <w:t>E. 1</w:t>
      </w:r>
    </w:p>
    <w:p>
      <w:r>
        <w:t>L'accident s'étant produit le 30 janvier 1961, la cause doit être jugée, pour ce qui concerne la responsabilité civile, selon les art. 58 à 89 LCR, entrés en vigueur le 1er janvier 1960 (art. 61 al. 1 OAV), et pour ce qui concerne les règles de la circulation, au regard desquelles doivent être appréciées les fautes respectives, selon les art. 17 ss. LA, qui n'ont été remplacés qu'à partir du 1er janvier 1963 par les art. 26 ss. LCR (art. 99 OCR).</w:t>
      </w:r>
    </w:p>
    <w:p>
      <w:r>
        <w:rPr>
          <w:b/>
        </w:rPr>
        <w:t>E. 2</w:t>
      </w:r>
    </w:p>
    <w:p>
      <w:r>
        <w:t>Aux termes de l'art. 58 al. 1 LCR, si, par suite de l'emploi d'un véhicule automobile, une personne est tuée ou blessée ou qu'un dommage matériel est causé, le détenteur est civilement responsable. En vertu de l'art. 59 al. 1 LCR,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La recourante invoque cette disposition libératoire. Elle prétend que l'accident est dû exclusivement à la faute grave du cycliste Louis Jaquier. Elle affirme en outre que son assuré Joseph Jendly n'a commis aucune faute. a) Selon la jurisprudence fondée tant sur l'art. 37 LA que sur l'art. 59 LCR, un usager de la route commet une faute grave s'il viole des règles de prudence élémentaires dont l'observation s'imposait à l'évidence à tout homme raisonnable se trouvant dans la même situation (RO 92 II 253, consid. 2; 64 II 241 ; cf. aussi, en d'autres matières, RO 88 II 435 et 87 II 189). Ainsi, le Tribunal fédéral a admis la faute grave d'un cycliste qui débouchait inopinément d'un chemin secondaire sur une route principale ou qui abordait une bifurcation à une allure excessive et n'avait pu éviter la collision avec une voiture automobile (RO 77 II 262, consid. 2; 64 II 241 ; 63 II 213 ). Il résulte de l'arrêt attaqué que Louis Jaquier a emprunté à plusieurs reprises, partiellement au moins, la partie gauche de la chaussée pour dépasser des groupes de piétons qui cheminaient dans la même direction que lui, et qu'ensuite il reprenait chaque fois sa droite. En soi, cette manoeuvre est correcte. En l'absence d'une ligne blanche continue et sur une route rectiligne, le cycliste comme tout conducteur de véhicule est en droit d'utiliser BGE 95 II 573 S. 579 aussi la partie gauche de la chaussée; il agit même prudemment en ne serrant pas les piétons de trop près (art. 25 al. 1, 3e phrase LA; RO 72 II 133, consid. 2). A un moment donné, Louis Jaquier a vu venir une voiture en sens inverse. De nuit, il n'en voyait évidement que les phares. Il avait dès lors à juger s'il pouvait encore dépasser les piétons qui marchaient devant lui avant de croiser la voiture. Pour prendre sa décision, il devait estimer la distance à laquelle se trouvait l'automobile et la vitesse à laquelle elle roulait. L'événement a prouvé qu'il avait commis à cet égard une double erreur d'appréciation: la voiture était plus proche et elle avançait plus vite qu'il ne croyait. La faute de Louis Jaquier consiste ainsi en une erreur d'appréciation, qui s'est produite en une fraction de seconde. Cette faute, qui est en relation de causalité adéquate avec l'accident, est certes caractérisée. Mais elle ne saurait être qualifiée de grave au sens de la jurisprudence précitée. Par ce motif déjà, la libération du détenteur Joseph Jendly est exclue. b) Selon l'art. 25 al. 1 LA, le conducteur doit être constamment maître de son véhicule et en adapter la vitesse aux conditions de la route et de la circulation. La jurisprudence a déduit de cette prescription légale que l'automobiliste doit pouvoir s'arrêter sur l'espace qu'il voit libre devant lui. La règle s'applique notamment de nuit lorsque, pour ne pas éblouir d'autres usagers de la route qui viennent en sens inverse, le conducteur éteint ses grands phares et allume ses feux de croisement (RO 84 II 129 et 88 IV 149). L'espace est libre lorsqu'aucun obstacle n'est visible et qu'on ne doit pas s'attendre à ce qu'il en surgisse un (RO 89 IV 25). La règle jurisprudentielle a été reprise par les art. 32 al. 1 LCR et 4 al. 1 OCR (cf. à ce sujet RO 90 IV 33, 91 IV 76, 94 IV 23) qui ne sont toutefois pas applicables en l'espèce. Joseph Jendly avait accéléré après la sortie du village de Lentigny. Il roulait, selon les constatations de la cour cantonale, à une allure de 50 à 60 km/h. Il est vrai qu'en soi, cette vitesse n'était pas excessive. L'automobiliste allumait alternativement ses grands phares et ses feux de croisement, chaque fois qu'il croisait un groupe de piétons. Comme il circulait sur une route rectiligne, il a vu ou du moins il a dû voir qu'un cycliste roulant en sens inverse se déplaçait de sa droite à sa gauche et dépassait un groupe de piétons et empruntait à cet effet la moitié gauche BGE 95 II 573 S. 580 de la chaussée, soit celle qui lui était normalement réservée. En présence d'un pareil obstacle, la prudence lui commandait de ralentir sensiblement afin de croiser les piétons et le cycle, véhicule instable, sans causer un accident (art. 25 al. 1, 2e phrase LA). Une prudence accrue s'imposait en raison de l'état de la chaussée, recouverte de neige et de gravier sur ses bords. En maintenant son allure de 50 à 60 km/h, il a commis une faute manifeste. Cette faute est elle aussi en relation de causalité adéquate avec l'accident. Elle s'oppose également à la libération du détenteur.</w:t>
      </w:r>
    </w:p>
    <w:p>
      <w:r>
        <w:rPr>
          <w:b/>
        </w:rPr>
        <w:t>E. 3</w:t>
      </w:r>
    </w:p>
    <w:p>
      <w:r>
        <w:t>Lorsque le détenteur ne peut se libérer de sa responsabilité civile en vertu de l'art. 59 al. 1 LCR, mais prouve qu'une faute du lésé a contribué à l'accident, le juge fixe l'indemnité en tenant compte de toutes les circonstances (art. 59 al. 2 LCR). Et si le détenteur - scumis à la responsabilité causale instituée par l'art. 58 al. 1 LCR - a lui aussi commis une faute, celle-ci compense en partie la faute concurrente de la victime. Le juge compare alors la gravité des fautes respectives et apprécie, le cas échéant, le poids des autres facteurs qui ont contribué à provoquer le dommage. Pratiquement, l'indemnité est réduite dans une mesure moindre que ne le justifierait la faute concurrente, considérée pour elle-même (RO 91 II 223, consid. 2 lettre c; RO 92 II 44, consid. 5 lettre b). Se référant à deux arrêts qui concernent des accidents où étaient impliqués des motocycles et non des cycles (RO 88 II 448 et arrêt du 19 janvier 1965 dans la cause Francioli c. La Winterthur et Butty, non publié au RO, mais reproduit en extrait dans la Semaine judiciaire 1966, p. 396 et au JdT 1967, p. 426 no 43), le Tribunal cantonal a tenu compte du risque auquel s'est exposé le lésé lui-même "en utilisant un moyen de locomotion aussi instable qu'une bicyclette dont l'équilibre n'est assuré que par le mouvement", qui "expose son usager à des accidents lourds de conséquences" et dont l'utilisation "requiert une prudence particulière". Mais il ne faut pas confondre le risque inhérent à l'emploi d'un véhicule automobile et la vulnérabilité du conducteur, ni perdre de vue que les usagers de la route les plus mal protégés - les piétons et les cyclistes - ne présentent pas de risques inhérents et ne sont pas soumis à la responsabilité causale (CHATELAIN, Tendances actuelles du Tribunal fédéral dans le domaine de la responsabilité civile, RJB 105 - 1969 - p. 225 no 7). Même si l'on pouvait envisager l'existence d'un BGE 95 II 573 S. 581 risque inhérent à l'utilisation d'un cycle, qui serait abstraitement plus grand que le risque inhérent à l'emploi d'une voiture automobile, il ne jouerait un rôle dans la répartition des responsabilités que si, dans un cas concret, il était en relation avec une négligence ou quelque autre circonstance dont le conducteur doit répondre (RO 94 II 173). En l'espèce, la collision se serait produite également si Louis Jaquier avait dépassé les piétons au volant d'une voiture automobile; ses lésions auraient peut-être été moins graves, mais il ne serait probablement pas sorti indemne de l'accident (arrêt cité). Il ne faut donc pas tenir compte séparément du danger couru par le cycliste, qui se confond pratiquement avec sa faute: du fait même qu'il n'était pas protégé contre un choc, il devait redoubler de prudence avant d'entreprendre le dépassement des piétons qui cheminaient devant lui.</w:t>
      </w:r>
    </w:p>
    <w:p>
      <w:r>
        <w:rPr>
          <w:b/>
        </w:rPr>
        <w:t>E. 4</w:t>
      </w:r>
    </w:p>
    <w:p>
      <w:r>
        <w:t>La faute concurrente du lésé justifie une réduction de l'indemnité. Mais le taux de 60% appliqué par la cour cantonale est trop élevé. La responsabilité causale du détenteur et la faute commise par lui entrent aussi en ligne de compte. Une réduction moins importante, de moitié, voire d'un tiers, eût été mieux adaptée aux circonstances. Le montant du dommage corporel n'est plus litigieux. Il s'élève à 151 133 fr. 70. L'indemnité due au lésé en vertu du droit civil serait donc, après réduction d'un tiers dans l'hypothèse la plus favorable au demandeur, d'environ 100 000 fr. Vu l'art. 100 LAMA, la Caisse nationale est subrogée, pour le montant de ses prestations, aux droits du lésé contre le détenteur responsable de l'accident. Dans cette mesure, Louis Jaquier ne peut donc pas être indemnisé par la recourante, qui assure la personne civilement responsable (RO 85 II 258). La cour cantonale a calculé la valeur actuelle de la rente d'invalidité servie par la Caisse nationale selon la table d'activité no 1 de STAUFFER et SCHAETZLE. Ce mode de capitalisation est contraire à la jurisprudence antérieure (RO 86 II 154), mais conforme à l'arrêt du 11 mars 1969 dans la cause Lloyd's Underwriters c. Chaboudez (RO 95 II 582). Les prestations de la Caisse nationale représentent 89 802 fr. 70. La partie non couverte du dommage est ainsi de 61 331 fr. Selon l'art. 88 LCR et l'arrêt Caisse nationale c. Winterthur-Accidents, du 11 octobre 1967 (RO 93 II 407), Louis Jaquier aurait droit à l'entier de cette somme. Mais, se fondant probablement BGE 95 II 573 S. 582 sur la jurisprudence antérieure, il a pris des conclusions en paiement de 43 592 fr. 20 seulement. La cour cantonale lui a alloué ce montant. Il n'a pas recouru en réforme. Du reste, il n'aurait pas pu conclure, devant le Tribunal fédéral, au paiement d'une somme supérieure (art. 55 al. 1 lettre b OJ). Aussi l'arrêt attaqué doit-il être confirmé dans son dispositif.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